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84" w:rsidRDefault="006B5284" w:rsidP="00B257BD">
      <w:bookmarkStart w:id="0" w:name="_GoBack"/>
      <w:bookmarkEnd w:id="0"/>
    </w:p>
    <w:p w:rsidR="00B257BD" w:rsidRPr="00B257BD" w:rsidRDefault="00B257BD" w:rsidP="00B257BD">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3E5390">
        <w:rPr>
          <w:b/>
          <w:bCs/>
        </w:rPr>
        <w:t>5</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111"/>
        <w:gridCol w:w="6571"/>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Default="006B528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 don’t tend to spend that much time monitoring social media so I would only pick wildfires up if they became ‘news’ (even if not headline news) or if pointed out to me say by a colleague in the field – so the ones that leap immediately to mind are the case</w:t>
            </w:r>
            <w:r w:rsidR="008D69C4">
              <w:rPr>
                <w:rFonts w:asciiTheme="majorHAnsi" w:hAnsiTheme="majorHAnsi"/>
                <w:sz w:val="24"/>
                <w:szCs w:val="24"/>
              </w:rPr>
              <w:t>s you mentioned</w:t>
            </w:r>
            <w:r>
              <w:rPr>
                <w:rFonts w:asciiTheme="majorHAnsi" w:hAnsiTheme="majorHAnsi"/>
                <w:sz w:val="24"/>
                <w:szCs w:val="24"/>
              </w:rPr>
              <w:t xml:space="preserve"> followed by Gamergate.  </w:t>
            </w:r>
          </w:p>
          <w:p w:rsidR="006B5284" w:rsidRDefault="006B528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6B5284" w:rsidRPr="007B1489" w:rsidRDefault="006B528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Default="006B528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Monitoring and controlling are different activities and so different responses may be appropriate here.  Responses may also be affected by severity of content (and not necessarily its ‘</w:t>
            </w:r>
            <w:proofErr w:type="spellStart"/>
            <w:r>
              <w:rPr>
                <w:rFonts w:asciiTheme="majorHAnsi" w:hAnsiTheme="majorHAnsi"/>
                <w:sz w:val="24"/>
                <w:szCs w:val="24"/>
              </w:rPr>
              <w:t>widespreadness</w:t>
            </w:r>
            <w:proofErr w:type="spellEnd"/>
            <w:r>
              <w:rPr>
                <w:rFonts w:asciiTheme="majorHAnsi" w:hAnsiTheme="majorHAnsi"/>
                <w:sz w:val="24"/>
                <w:szCs w:val="24"/>
              </w:rPr>
              <w:t>’).  Not sure how you take into account vulnerability of victims and subject assessment of damage/threat.</w:t>
            </w:r>
          </w:p>
          <w:p w:rsidR="006B5284" w:rsidRDefault="006B528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CA77A7" w:rsidRDefault="006B528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Monitoring and controlling do not need to be a one-stop fix.  Given the distributed nature of the Internet generally</w:t>
            </w:r>
            <w:r w:rsidR="00CA77A7">
              <w:rPr>
                <w:rFonts w:asciiTheme="majorHAnsi" w:hAnsiTheme="majorHAnsi"/>
                <w:sz w:val="24"/>
                <w:szCs w:val="24"/>
              </w:rPr>
              <w:t xml:space="preserve"> you’d be looking for distributed monitoring systems – often users will fill this role but there are difficulties if you start requiring victim-only complains (conversely ‘public interest’ complaints raise difficulties too- problems here defining legitimate interest rather than ‘just’ busy bodies).  Quite apart from standing, you do need mechanisms which respond swiftly to complaints – as Perez illustrated</w:t>
            </w:r>
          </w:p>
          <w:p w:rsidR="00CA77A7" w:rsidRDefault="00CA77A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CA77A7" w:rsidRDefault="00CA77A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It needn’t be just down to users – those hosting and especially those making money should play a role in monitoring. In my view businesses have a moral obligation here if not a legal one.  It may be possible not to look for content based triggers (abusive language or whatever – these are fraught with problems especially when just automated) but behaviour based triggers.  Host recklessness in this regard in my opinion should be actionable (though you’d have to spend some time thinking about guidance/boundaries on that).</w:t>
            </w:r>
          </w:p>
          <w:p w:rsidR="00CA77A7" w:rsidRDefault="00CA77A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6B5284" w:rsidRDefault="00CA77A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If you are looking at take-down or blocking, you need to think geographical scope – does it matter if you are being abused if you don’t receive notice – if reputational damage is an issue do you have a reputation to damage in other continents? </w:t>
            </w:r>
          </w:p>
          <w:p w:rsidR="00CA77A7" w:rsidRDefault="00CA77A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CA77A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There is another angle: that is more education about possible harms.  This is of course not just children, and of course some people are irredeemable in this context.  Memes such as the ‘no-one knows you are a dog’ and first amendment </w:t>
            </w:r>
            <w:r>
              <w:rPr>
                <w:rFonts w:asciiTheme="majorHAnsi" w:hAnsiTheme="majorHAnsi"/>
                <w:sz w:val="24"/>
                <w:szCs w:val="24"/>
              </w:rPr>
              <w:lastRenderedPageBreak/>
              <w:t>absolutism</w:t>
            </w:r>
            <w:r w:rsidR="00965FA3">
              <w:rPr>
                <w:rFonts w:asciiTheme="majorHAnsi" w:hAnsiTheme="majorHAnsi"/>
                <w:sz w:val="24"/>
                <w:szCs w:val="24"/>
              </w:rPr>
              <w:t xml:space="preserve"> do not help.</w:t>
            </w:r>
          </w:p>
          <w:p w:rsidR="002962C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8D69C4" w:rsidRPr="007B1489" w:rsidRDefault="008D69C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The media should be held responsible (whether through the appropriate regulatory process or internal process) for their bad journalistic practices too – too many people think multiple repeats of the same source constitute multiple sources, but journalists should know better.</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Default="00965FA3"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Self-regulation only works if the interests of those regulated and the public interest in play line up and there is a strong mechanism for keeping those regulated in line. Neither aspect is true here.  What you get instead is the freedom of be offensive – so those with the strongest position in society and whose views dominate and frame discussion will be able to re-inforce their position (this is probably going to be white men).  This is the ‘if you can’t take the heat get out of the kitchen’ argument – but who said the kitchen had to be that hot and </w:t>
            </w:r>
            <w:proofErr w:type="spellStart"/>
            <w:r>
              <w:rPr>
                <w:rFonts w:asciiTheme="majorHAnsi" w:hAnsiTheme="majorHAnsi"/>
                <w:sz w:val="24"/>
                <w:szCs w:val="24"/>
              </w:rPr>
              <w:t>shouty</w:t>
            </w:r>
            <w:proofErr w:type="spellEnd"/>
            <w:r>
              <w:rPr>
                <w:rFonts w:asciiTheme="majorHAnsi" w:hAnsiTheme="majorHAnsi"/>
                <w:sz w:val="24"/>
                <w:szCs w:val="24"/>
              </w:rPr>
              <w:t xml:space="preserve"> anyway?</w:t>
            </w:r>
          </w:p>
          <w:p w:rsidR="00965FA3" w:rsidRDefault="00965FA3"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If we are looking at regulation (co-regulation/traditional regulation) or other forms of law, then the question is who should be the subject?  This is probably going to vary depending on nature of incidents and the mechanism.</w:t>
            </w:r>
          </w:p>
          <w:p w:rsidR="00965FA3" w:rsidRDefault="00965FA3"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At the least there should be </w:t>
            </w:r>
            <w:r w:rsidR="00D578AF">
              <w:rPr>
                <w:rFonts w:asciiTheme="majorHAnsi" w:hAnsiTheme="majorHAnsi"/>
                <w:sz w:val="24"/>
                <w:szCs w:val="24"/>
              </w:rPr>
              <w:t xml:space="preserve">effective </w:t>
            </w:r>
            <w:r>
              <w:rPr>
                <w:rFonts w:asciiTheme="majorHAnsi" w:hAnsiTheme="majorHAnsi"/>
                <w:sz w:val="24"/>
                <w:szCs w:val="24"/>
              </w:rPr>
              <w:t xml:space="preserve">‘panic buttons’.  </w:t>
            </w:r>
            <w:r w:rsidR="001E4930">
              <w:rPr>
                <w:rFonts w:asciiTheme="majorHAnsi" w:hAnsiTheme="majorHAnsi"/>
                <w:sz w:val="24"/>
                <w:szCs w:val="24"/>
              </w:rPr>
              <w:t xml:space="preserve">Or perhaps some form of delay (equivalent to the slight delay built into some live broadcasting to allow ‘bleeps’). </w:t>
            </w:r>
            <w:r>
              <w:rPr>
                <w:rFonts w:asciiTheme="majorHAnsi" w:hAnsiTheme="majorHAnsi"/>
                <w:sz w:val="24"/>
                <w:szCs w:val="24"/>
              </w:rPr>
              <w:t>Perhaps some form of financial liability for hosts of various descriptions for slow response to (crisis/severe content) notification (some form of non-court tribunal to determine provided at the site’s expense perhaps….?).</w:t>
            </w:r>
          </w:p>
          <w:p w:rsidR="00237082" w:rsidRPr="007B1489" w:rsidRDefault="00965FA3"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While I have issues with the current array of speech offences, I think there may well be a role for PHA and those </w:t>
            </w:r>
            <w:r w:rsidR="00D578AF">
              <w:rPr>
                <w:rFonts w:asciiTheme="majorHAnsi" w:hAnsiTheme="majorHAnsi"/>
                <w:sz w:val="24"/>
                <w:szCs w:val="24"/>
              </w:rPr>
              <w:t xml:space="preserve">offences </w:t>
            </w:r>
            <w:r>
              <w:rPr>
                <w:rFonts w:asciiTheme="majorHAnsi" w:hAnsiTheme="majorHAnsi"/>
                <w:sz w:val="24"/>
                <w:szCs w:val="24"/>
              </w:rPr>
              <w:t xml:space="preserve">that are </w:t>
            </w:r>
            <w:r w:rsidR="00D578AF">
              <w:rPr>
                <w:rFonts w:asciiTheme="majorHAnsi" w:hAnsiTheme="majorHAnsi"/>
                <w:sz w:val="24"/>
                <w:szCs w:val="24"/>
              </w:rPr>
              <w:t xml:space="preserve">aimed at </w:t>
            </w:r>
            <w:r>
              <w:rPr>
                <w:rFonts w:asciiTheme="majorHAnsi" w:hAnsiTheme="majorHAnsi"/>
                <w:sz w:val="24"/>
                <w:szCs w:val="24"/>
              </w:rPr>
              <w:t>clear threats of violence</w:t>
            </w:r>
            <w:r w:rsidR="00D578AF">
              <w:rPr>
                <w:rFonts w:asciiTheme="majorHAnsi" w:hAnsiTheme="majorHAnsi"/>
                <w:sz w:val="24"/>
                <w:szCs w:val="24"/>
              </w:rPr>
              <w:t>.  Not sure what you do about children – perpetrators may well be children too and you want to be cautious about labelling someone a criminal too early.  Currently we have too many and the distinctions between them are a little problematic.</w:t>
            </w:r>
          </w:p>
          <w:p w:rsidR="00237082" w:rsidRDefault="00D578A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The left-field suggestion would be a ‘fit and proper’ person test for hosting sites!  (Not sure how I feel about that one; it is a Friday afternoon suggestion)</w:t>
            </w:r>
          </w:p>
          <w:p w:rsidR="008D69C4" w:rsidRPr="007B1489" w:rsidRDefault="008D69C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Looking at the specific examples – people repeating libel are in my opinion fair game for litigation from a wronged party.</w:t>
            </w: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1E4930" w:rsidRPr="00C22FF3" w:rsidRDefault="00D578AF" w:rsidP="001E4930">
            <w:pPr>
              <w:cnfStyle w:val="000000010000" w:firstRow="0" w:lastRow="0" w:firstColumn="0" w:lastColumn="0" w:oddVBand="0" w:evenVBand="0" w:oddHBand="0" w:evenHBand="1" w:firstRowFirstColumn="0" w:firstRowLastColumn="0" w:lastRowFirstColumn="0" w:lastRowLastColumn="0"/>
              <w:rPr>
                <w:rFonts w:asciiTheme="majorHAnsi" w:eastAsia="Times New Roman" w:hAnsiTheme="majorHAnsi" w:cs="Times New Roman"/>
                <w:sz w:val="24"/>
                <w:szCs w:val="24"/>
                <w:lang w:eastAsia="en-GB"/>
              </w:rPr>
            </w:pPr>
            <w:r>
              <w:rPr>
                <w:rFonts w:asciiTheme="majorHAnsi" w:hAnsiTheme="majorHAnsi"/>
                <w:sz w:val="24"/>
                <w:szCs w:val="24"/>
              </w:rPr>
              <w:t>Freedom of speech is a limited right anyway and the ECHR</w:t>
            </w:r>
            <w:r w:rsidR="001E4930">
              <w:rPr>
                <w:rFonts w:asciiTheme="majorHAnsi" w:hAnsiTheme="majorHAnsi"/>
                <w:sz w:val="24"/>
                <w:szCs w:val="24"/>
              </w:rPr>
              <w:t xml:space="preserve"> (art. 17)</w:t>
            </w:r>
            <w:r>
              <w:rPr>
                <w:rFonts w:asciiTheme="majorHAnsi" w:hAnsiTheme="majorHAnsi"/>
                <w:sz w:val="24"/>
                <w:szCs w:val="24"/>
              </w:rPr>
              <w:t xml:space="preserve"> does not cover </w:t>
            </w:r>
            <w:r w:rsidR="001E4930">
              <w:rPr>
                <w:rFonts w:asciiTheme="majorHAnsi" w:hAnsiTheme="majorHAnsi"/>
                <w:sz w:val="24"/>
                <w:szCs w:val="24"/>
              </w:rPr>
              <w:t>that which undermines its values – so hate speech probably not covered by freedom of speech guarantees anyway</w:t>
            </w:r>
            <w:r>
              <w:rPr>
                <w:rFonts w:asciiTheme="majorHAnsi" w:hAnsiTheme="majorHAnsi"/>
                <w:sz w:val="24"/>
                <w:szCs w:val="24"/>
              </w:rPr>
              <w:t>.</w:t>
            </w:r>
            <w:r w:rsidR="001E4930">
              <w:rPr>
                <w:rFonts w:asciiTheme="majorHAnsi" w:hAnsiTheme="majorHAnsi"/>
                <w:sz w:val="24"/>
                <w:szCs w:val="24"/>
              </w:rPr>
              <w:t xml:space="preserve"> So for example </w:t>
            </w:r>
            <w:proofErr w:type="spellStart"/>
            <w:r w:rsidR="001E4930" w:rsidRPr="001E4930">
              <w:rPr>
                <w:rFonts w:asciiTheme="majorHAnsi" w:eastAsia="Times New Roman" w:hAnsiTheme="majorHAnsi" w:cs="Arial"/>
                <w:lang w:eastAsia="en-GB"/>
              </w:rPr>
              <w:t>Glimmerveen</w:t>
            </w:r>
            <w:proofErr w:type="spellEnd"/>
            <w:r w:rsidR="001E4930">
              <w:rPr>
                <w:rFonts w:asciiTheme="majorHAnsi" w:eastAsia="Times New Roman" w:hAnsiTheme="majorHAnsi" w:cs="Arial"/>
                <w:lang w:eastAsia="en-GB"/>
              </w:rPr>
              <w:t xml:space="preserve"> </w:t>
            </w:r>
            <w:r w:rsidR="001E4930" w:rsidRPr="001E4930">
              <w:rPr>
                <w:rFonts w:asciiTheme="majorHAnsi" w:eastAsia="Times New Roman" w:hAnsiTheme="majorHAnsi" w:cs="Arial"/>
                <w:lang w:eastAsia="en-GB"/>
              </w:rPr>
              <w:t>v Netherlands (1979)</w:t>
            </w:r>
            <w:r w:rsidR="001E4930">
              <w:rPr>
                <w:rFonts w:asciiTheme="majorHAnsi" w:eastAsia="Times New Roman" w:hAnsiTheme="majorHAnsi" w:cs="Arial"/>
                <w:lang w:eastAsia="en-GB"/>
              </w:rPr>
              <w:t xml:space="preserve"> leaflets calling for the removal of ‘foreigners’ encouraged discrimination and so contrary to Art. 17.  </w:t>
            </w:r>
            <w:r>
              <w:rPr>
                <w:rFonts w:asciiTheme="majorHAnsi" w:hAnsiTheme="majorHAnsi"/>
                <w:sz w:val="24"/>
                <w:szCs w:val="24"/>
              </w:rPr>
              <w:t xml:space="preserve"> </w:t>
            </w:r>
            <w:r w:rsidR="001E4930">
              <w:rPr>
                <w:rFonts w:asciiTheme="majorHAnsi" w:hAnsiTheme="majorHAnsi"/>
                <w:sz w:val="24"/>
                <w:szCs w:val="24"/>
              </w:rPr>
              <w:t>(See also Art 20 ICCPR and Camden Principles).</w:t>
            </w:r>
            <w:r>
              <w:rPr>
                <w:rFonts w:asciiTheme="majorHAnsi" w:hAnsiTheme="majorHAnsi"/>
                <w:sz w:val="24"/>
                <w:szCs w:val="24"/>
              </w:rPr>
              <w:t xml:space="preserve"> </w:t>
            </w:r>
            <w:r w:rsidR="001E4930">
              <w:rPr>
                <w:rFonts w:asciiTheme="majorHAnsi" w:hAnsiTheme="majorHAnsi"/>
                <w:sz w:val="24"/>
                <w:szCs w:val="24"/>
              </w:rPr>
              <w:t xml:space="preserve"> This tends to crop up when attacks are linked to membership of a group (whether it be racial, religious or whatever).  The limitation of speech where it constitutes an abuse is accepted by the EU too.</w:t>
            </w:r>
            <w:r w:rsidR="00C22FF3">
              <w:rPr>
                <w:rFonts w:asciiTheme="majorHAnsi" w:hAnsiTheme="majorHAnsi"/>
                <w:sz w:val="24"/>
                <w:szCs w:val="24"/>
              </w:rPr>
              <w:t xml:space="preserve"> Blatant </w:t>
            </w:r>
            <w:r w:rsidR="00C22FF3">
              <w:rPr>
                <w:rFonts w:asciiTheme="majorHAnsi" w:hAnsiTheme="majorHAnsi"/>
                <w:sz w:val="24"/>
                <w:szCs w:val="24"/>
              </w:rPr>
              <w:lastRenderedPageBreak/>
              <w:t xml:space="preserve">untruths don’t get very much protection either; there is some case law of the ECtHR which suggests that pure abuse is not protected speech.  Note also duty on state to protect, especially in the context of protecting the vulnerable and children </w:t>
            </w:r>
            <w:r w:rsidR="00C22FF3" w:rsidRPr="00C22FF3">
              <w:rPr>
                <w:rFonts w:asciiTheme="majorHAnsi" w:hAnsiTheme="majorHAnsi"/>
                <w:sz w:val="24"/>
                <w:szCs w:val="24"/>
              </w:rPr>
              <w:t xml:space="preserve">(see </w:t>
            </w:r>
            <w:r w:rsidR="00C22FF3" w:rsidRPr="00C22FF3">
              <w:rPr>
                <w:rFonts w:asciiTheme="majorHAnsi" w:eastAsia="Times New Roman" w:hAnsiTheme="majorHAnsi" w:cs="Times New Roman"/>
                <w:i/>
                <w:sz w:val="24"/>
                <w:szCs w:val="24"/>
                <w:lang w:eastAsia="en-GB"/>
              </w:rPr>
              <w:t>K.U.</w:t>
            </w:r>
            <w:r w:rsidR="00C22FF3">
              <w:rPr>
                <w:rFonts w:asciiTheme="majorHAnsi" w:eastAsia="Times New Roman" w:hAnsiTheme="majorHAnsi" w:cs="Times New Roman"/>
                <w:sz w:val="24"/>
                <w:szCs w:val="24"/>
                <w:lang w:eastAsia="en-GB"/>
              </w:rPr>
              <w:t xml:space="preserve"> </w:t>
            </w:r>
            <w:r w:rsidR="00C22FF3" w:rsidRPr="00C22FF3">
              <w:rPr>
                <w:rFonts w:asciiTheme="majorHAnsi" w:eastAsia="Times New Roman" w:hAnsiTheme="majorHAnsi" w:cs="Times New Roman"/>
                <w:sz w:val="24"/>
                <w:szCs w:val="24"/>
                <w:lang w:eastAsia="en-GB"/>
              </w:rPr>
              <w:t>v.</w:t>
            </w:r>
            <w:r w:rsidR="00C22FF3">
              <w:rPr>
                <w:rFonts w:asciiTheme="majorHAnsi" w:eastAsia="Times New Roman" w:hAnsiTheme="majorHAnsi" w:cs="Times New Roman"/>
                <w:sz w:val="24"/>
                <w:szCs w:val="24"/>
                <w:lang w:eastAsia="en-GB"/>
              </w:rPr>
              <w:t xml:space="preserve"> </w:t>
            </w:r>
            <w:r w:rsidR="00C22FF3" w:rsidRPr="00C22FF3">
              <w:rPr>
                <w:rFonts w:asciiTheme="majorHAnsi" w:eastAsia="Times New Roman" w:hAnsiTheme="majorHAnsi" w:cs="Times New Roman"/>
                <w:i/>
                <w:sz w:val="24"/>
                <w:szCs w:val="24"/>
                <w:lang w:eastAsia="en-GB"/>
              </w:rPr>
              <w:t>Finland</w:t>
            </w:r>
            <w:r w:rsidR="00C22FF3">
              <w:rPr>
                <w:rFonts w:asciiTheme="majorHAnsi" w:eastAsia="Times New Roman" w:hAnsiTheme="majorHAnsi" w:cs="Times New Roman"/>
                <w:sz w:val="24"/>
                <w:szCs w:val="24"/>
                <w:lang w:eastAsia="en-GB"/>
              </w:rPr>
              <w:t>)</w:t>
            </w:r>
          </w:p>
          <w:p w:rsidR="00AA05AA" w:rsidRPr="007B1489" w:rsidRDefault="00D578AF" w:rsidP="001E4930">
            <w:pPr>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 am deeply uneasy about speech crimes</w:t>
            </w:r>
            <w:r w:rsidR="001E4930">
              <w:rPr>
                <w:rFonts w:asciiTheme="majorHAnsi" w:hAnsiTheme="majorHAnsi"/>
                <w:sz w:val="24"/>
                <w:szCs w:val="24"/>
              </w:rPr>
              <w:t xml:space="preserve"> more generally, but have fewer problems with some threads just disappearing into the void (especially if there is the possibility of reinstatement after review).  Neutral oversight is always the problem</w:t>
            </w:r>
            <w:r w:rsidR="008D69C4">
              <w:rPr>
                <w:rFonts w:asciiTheme="majorHAnsi" w:hAnsiTheme="majorHAnsi"/>
                <w:sz w:val="24"/>
                <w:szCs w:val="24"/>
              </w:rPr>
              <w:t xml:space="preserve"> – most of the examples given do not go close to the line where you might argue that suppression is in fact political censorship – that doesn’t mean it wouldn’t happen</w:t>
            </w:r>
            <w:r w:rsidR="001E4930">
              <w:rPr>
                <w:rFonts w:asciiTheme="majorHAnsi" w:hAnsiTheme="majorHAnsi"/>
                <w:sz w:val="24"/>
                <w:szCs w:val="24"/>
              </w:rPr>
              <w:t>.</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7B1489" w:rsidRDefault="00D578A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As well as the individuals’ interests in these cases, what about the knock-on consequences for society in terms of safeguarding an environment in which it is safe for all to participate.  Encouraging people to think before they open their (digital) mouths would be no bad thing.</w:t>
            </w:r>
            <w:r w:rsidR="00C22FF3">
              <w:rPr>
                <w:rFonts w:asciiTheme="majorHAnsi" w:hAnsiTheme="majorHAnsi"/>
                <w:sz w:val="24"/>
                <w:szCs w:val="24"/>
              </w:rPr>
              <w:t xml:space="preserve">  We seem at the moment to be encouraging an environment where it is ok for people to seek out the power rush arising from being dominant over others – not the way we want to go, surely?</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8518BE" w:rsidRPr="007B1489" w:rsidRDefault="008D4AF7"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B0321"/>
    <w:rsid w:val="001E4930"/>
    <w:rsid w:val="00237082"/>
    <w:rsid w:val="002962C8"/>
    <w:rsid w:val="00297163"/>
    <w:rsid w:val="00300F83"/>
    <w:rsid w:val="003E5390"/>
    <w:rsid w:val="006A2E22"/>
    <w:rsid w:val="006B5284"/>
    <w:rsid w:val="007B1489"/>
    <w:rsid w:val="0088776B"/>
    <w:rsid w:val="008B77A4"/>
    <w:rsid w:val="008D4AF7"/>
    <w:rsid w:val="008D69C4"/>
    <w:rsid w:val="00965FA3"/>
    <w:rsid w:val="0098799B"/>
    <w:rsid w:val="00AA05AA"/>
    <w:rsid w:val="00AC0004"/>
    <w:rsid w:val="00B257BD"/>
    <w:rsid w:val="00B672D6"/>
    <w:rsid w:val="00BA655F"/>
    <w:rsid w:val="00C22FF3"/>
    <w:rsid w:val="00C329CD"/>
    <w:rsid w:val="00C37634"/>
    <w:rsid w:val="00CA77A7"/>
    <w:rsid w:val="00D578AF"/>
    <w:rsid w:val="00D9173F"/>
    <w:rsid w:val="00DD2B63"/>
    <w:rsid w:val="00E34839"/>
    <w:rsid w:val="00E64C61"/>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F37756-60BE-4F73-A063-EA078B0E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46083582">
      <w:bodyDiv w:val="1"/>
      <w:marLeft w:val="0"/>
      <w:marRight w:val="0"/>
      <w:marTop w:val="0"/>
      <w:marBottom w:val="0"/>
      <w:divBdr>
        <w:top w:val="none" w:sz="0" w:space="0" w:color="auto"/>
        <w:left w:val="none" w:sz="0" w:space="0" w:color="auto"/>
        <w:bottom w:val="none" w:sz="0" w:space="0" w:color="auto"/>
        <w:right w:val="none" w:sz="0" w:space="0" w:color="auto"/>
      </w:divBdr>
      <w:divsChild>
        <w:div w:id="1929001531">
          <w:marLeft w:val="0"/>
          <w:marRight w:val="0"/>
          <w:marTop w:val="0"/>
          <w:marBottom w:val="0"/>
          <w:divBdr>
            <w:top w:val="none" w:sz="0" w:space="0" w:color="auto"/>
            <w:left w:val="none" w:sz="0" w:space="0" w:color="auto"/>
            <w:bottom w:val="none" w:sz="0" w:space="0" w:color="auto"/>
            <w:right w:val="none" w:sz="0" w:space="0" w:color="auto"/>
          </w:divBdr>
        </w:div>
        <w:div w:id="321390745">
          <w:marLeft w:val="0"/>
          <w:marRight w:val="0"/>
          <w:marTop w:val="0"/>
          <w:marBottom w:val="0"/>
          <w:divBdr>
            <w:top w:val="none" w:sz="0" w:space="0" w:color="auto"/>
            <w:left w:val="none" w:sz="0" w:space="0" w:color="auto"/>
            <w:bottom w:val="none" w:sz="0" w:space="0" w:color="auto"/>
            <w:right w:val="none" w:sz="0" w:space="0" w:color="auto"/>
          </w:divBdr>
        </w:div>
        <w:div w:id="1673294131">
          <w:marLeft w:val="0"/>
          <w:marRight w:val="0"/>
          <w:marTop w:val="0"/>
          <w:marBottom w:val="0"/>
          <w:divBdr>
            <w:top w:val="none" w:sz="0" w:space="0" w:color="auto"/>
            <w:left w:val="none" w:sz="0" w:space="0" w:color="auto"/>
            <w:bottom w:val="none" w:sz="0" w:space="0" w:color="auto"/>
            <w:right w:val="none" w:sz="0" w:space="0" w:color="auto"/>
          </w:divBdr>
        </w:div>
      </w:divsChild>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 w:id="1869026933">
      <w:bodyDiv w:val="1"/>
      <w:marLeft w:val="0"/>
      <w:marRight w:val="0"/>
      <w:marTop w:val="0"/>
      <w:marBottom w:val="0"/>
      <w:divBdr>
        <w:top w:val="none" w:sz="0" w:space="0" w:color="auto"/>
        <w:left w:val="none" w:sz="0" w:space="0" w:color="auto"/>
        <w:bottom w:val="none" w:sz="0" w:space="0" w:color="auto"/>
        <w:right w:val="none" w:sz="0" w:space="0" w:color="auto"/>
      </w:divBdr>
      <w:divsChild>
        <w:div w:id="104204228">
          <w:marLeft w:val="0"/>
          <w:marRight w:val="0"/>
          <w:marTop w:val="0"/>
          <w:marBottom w:val="0"/>
          <w:divBdr>
            <w:top w:val="none" w:sz="0" w:space="0" w:color="auto"/>
            <w:left w:val="none" w:sz="0" w:space="0" w:color="auto"/>
            <w:bottom w:val="none" w:sz="0" w:space="0" w:color="auto"/>
            <w:right w:val="none" w:sz="0" w:space="0" w:color="auto"/>
          </w:divBdr>
        </w:div>
        <w:div w:id="1679455683">
          <w:marLeft w:val="0"/>
          <w:marRight w:val="0"/>
          <w:marTop w:val="0"/>
          <w:marBottom w:val="0"/>
          <w:divBdr>
            <w:top w:val="none" w:sz="0" w:space="0" w:color="auto"/>
            <w:left w:val="none" w:sz="0" w:space="0" w:color="auto"/>
            <w:bottom w:val="none" w:sz="0" w:space="0" w:color="auto"/>
            <w:right w:val="none" w:sz="0" w:space="0" w:color="auto"/>
          </w:divBdr>
        </w:div>
        <w:div w:id="1754620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9058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2015-09-28T10:25:00Z</dcterms:created>
  <dcterms:modified xsi:type="dcterms:W3CDTF">2015-09-28T10:25:00Z</dcterms:modified>
</cp:coreProperties>
</file>